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 年开封市信息技术与课程融合优质课</w:t>
      </w:r>
    </w:p>
    <w:p w14:paraId="7EB83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及流程步骤</w:t>
      </w:r>
    </w:p>
    <w:p w14:paraId="781C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BB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一、申报要求</w:t>
      </w:r>
    </w:p>
    <w:p w14:paraId="44C0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（一）单位组织与信息填报</w:t>
      </w:r>
    </w:p>
    <w:p w14:paraId="17A1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各单位要认真组织，严格按评选标准选拔，制定并有效实施评选方案。填报课例信息务必仔细核对，按报送要求规范操作，课例信息以平台上报为准。若因报送单位致作品信息有误，后果由其承担。特别注意核对参赛人员个人信息，证书发放时因报送信息错漏不再补发。</w:t>
      </w:r>
    </w:p>
    <w:p w14:paraId="35CB94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信息保密要求</w:t>
      </w:r>
    </w:p>
    <w:p w14:paraId="4D6E8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为确保评审公平公正，报送的课例视频及材料作品，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在文件命名方式中，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不得出现教师姓名和单位信息。视频画面、音频，材料文档的内容、页眉页脚等任何位置，均需规避相关信息。若表格模板有默认单位信息，需用</w:t>
      </w:r>
      <w:r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图像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处理工具模糊或遮盖。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在评审过程中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现个人信息泄露的，将取消参赛成绩！</w:t>
      </w:r>
    </w:p>
    <w:p w14:paraId="27F258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课例内容与技术融合</w:t>
      </w:r>
    </w:p>
    <w:p w14:paraId="5A4F9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优质课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要紧密结合本校、本学科教学实际。充分运用智慧黑板、平板电脑、各类学习平台、国家中小学智慧教育平台及人工智能等信息技术手段，合理利用数字教材、虚拟实验室等资源制作优质课例。单纯 PPT 讲授无信息技术应用的传统课例将一票否决。</w:t>
      </w: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本年度信息技术与课程融合优质课分为普通融合优质课</w:t>
      </w: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国家智慧平台优质课</w:t>
      </w: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个项目。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国家智慧平台优质课是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指在教育教学活动中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使用国家中小学智慧教育平台资源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，恰当应用平台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工具、AI助手等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加工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转化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用的课程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具体评价指标（见市级文件附件5）。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范围包括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全市普通中小学校、幼儿园的所有学科，中等职业学校、特殊教育学校的文化课。</w:t>
      </w:r>
    </w:p>
    <w:p w14:paraId="34622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整理 “</w:t>
      </w:r>
      <w:r>
        <w:rPr>
          <w:rFonts w:eastAsia="仿宋_GB2312"/>
          <w:b/>
          <w:bCs/>
          <w:color w:val="FF0000"/>
          <w:kern w:val="1"/>
          <w:sz w:val="32"/>
          <w:szCs w:val="32"/>
        </w:rPr>
        <w:t>教学资源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”时，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再需要提供原素材，只需上传word文档，以说明课例中应用信息技术手段及教学资源应用情况为目的，请将课程中涉及的课件、视频、软件、工具等按照教学过程的顺序进行“图片+文字注解”形式整理。(格式不限，至少 200 字)，文档命名为“学科+课程名称+教学资源说明稿”，未提交视为材料不齐。”</w:t>
      </w:r>
    </w:p>
    <w:p w14:paraId="487737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课例时间与质量要求</w:t>
      </w:r>
    </w:p>
    <w:p w14:paraId="695C3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课例须为 2024 年 10 月 1 日之后讲授并制作，确保无政治性、原则性及学科概念性错误，资料素材完整。课例时长按学段标准：幼儿园小班 15 分钟、中班 25 分钟、大班 30 分钟；中小学小学和初中 40 分钟、高中 45 分钟，时长允许 1 分钟左右浮动。评审时课程时长每差 1 分钟以上扣 5 分，差距超 3 分钟取消评审成绩。课例不能参加过市级及以上优质课评选，参加过的视为无效，虚报瞒报取消参赛资格。报送课例必须原创，严禁抄袭，发现侵权取消三年内参评资格，通报所在单位，视情况减少或取消下一年度单位报送名额。</w:t>
      </w:r>
    </w:p>
    <w:p w14:paraId="1094AC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申报数量限制</w:t>
      </w:r>
    </w:p>
    <w:p w14:paraId="5E37B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每位参评教师限报 1 节课例，每节课例限 1 名指导教师，指导教师仅可指导 1 节课例，参评教师不能作自己课例的指导教师。各单位严格把关，同一教师指导两节及以上课例，取消所在单位全部报送名额。</w:t>
      </w:r>
    </w:p>
    <w:p w14:paraId="06B941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申报平台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管理要求</w:t>
      </w:r>
    </w:p>
    <w:p w14:paraId="29FA8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本次评选材料上报用 “开封市信息技术与课程融合优质课评选系统”，不接受个人申报。以县 (区)、市局属学校、民办学校为单位统一线上申报。各单位选一名管理员负责申报工作，作为唯一联系人，不得转交他人代办。</w:t>
      </w:r>
    </w:p>
    <w:p w14:paraId="5861AE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管理员变更流程</w:t>
      </w:r>
    </w:p>
    <w:p w14:paraId="73653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若单位管理员变更，及时重新提交 “评选工作管理员信息表”。4 月 30 日前将信息表扫描件发至 kfsdhjyg@126.com，邮件主题注明 “** 单位变更融合课评选工作管理员信息表”。表格如下：</w:t>
      </w:r>
    </w:p>
    <w:tbl>
      <w:tblPr>
        <w:tblStyle w:val="10"/>
        <w:tblW w:w="493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950"/>
        <w:gridCol w:w="1569"/>
        <w:gridCol w:w="1569"/>
        <w:gridCol w:w="1569"/>
        <w:gridCol w:w="1581"/>
      </w:tblGrid>
      <w:tr w14:paraId="716A5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6B0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年度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开封市融合课评选工作管理员变更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信息表</w:t>
            </w:r>
          </w:p>
        </w:tc>
      </w:tr>
      <w:tr w14:paraId="1D0F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2AE4F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单位负责人：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</w:tc>
      </w:tr>
      <w:tr w14:paraId="617E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2C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A4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部门、职务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691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F38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C92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A3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14:paraId="2E54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ED3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60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F72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499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820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784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8E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597B"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37206DF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14:paraId="0AE6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A3B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说明：</w:t>
            </w:r>
          </w:p>
        </w:tc>
      </w:tr>
    </w:tbl>
    <w:p w14:paraId="32BE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19E2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技术支持与问题解决</w:t>
      </w:r>
    </w:p>
    <w:p w14:paraId="3258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报送时系统异常，尝试换最新版谷歌浏览器、360 浏览器极速模式、360 极速浏览器或 IE8 以上版本兼容模式，清空缓存重试。有疑问可在上报平台查看 “问题指南”，或致电 0371 - 25987576（市级管理员：孙锐）咨询。</w:t>
      </w:r>
    </w:p>
    <w:p w14:paraId="27050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E98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</w:t>
      </w:r>
      <w:r>
        <w:rPr>
          <w:rFonts w:ascii="Times New Roman" w:hAnsi="Times New Roman" w:eastAsia="黑体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</w:t>
      </w:r>
    </w:p>
    <w:p w14:paraId="055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不收纸质材料，由单位管理员负责报送，不受理个人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。作品报送截止日期 2025 年 5 月 13 日逾期视为放弃评选。</w:t>
      </w:r>
    </w:p>
    <w:p w14:paraId="6536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FF0000"/>
          <w:kern w:val="1"/>
          <w:sz w:val="32"/>
          <w:szCs w:val="32"/>
          <w:lang w:val="en-US" w:eastAsia="zh-CN"/>
        </w:rPr>
        <w:t>材料分为两大类：单位汇总材料、线上平台融合课报送材料。</w:t>
      </w:r>
    </w:p>
    <w:p w14:paraId="4211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（一）单位汇总材料整理要求</w:t>
      </w:r>
    </w:p>
    <w:p w14:paraId="57850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FF0000"/>
          <w:kern w:val="1"/>
          <w:sz w:val="32"/>
          <w:szCs w:val="32"/>
          <w:lang w:val="en-US" w:eastAsia="zh-CN"/>
        </w:rPr>
        <w:t>单位汇总</w:t>
      </w:r>
      <w:r>
        <w:rPr>
          <w:rFonts w:eastAsia="仿宋_GB2312"/>
          <w:b/>
          <w:bCs/>
          <w:color w:val="FF0000"/>
          <w:kern w:val="1"/>
          <w:sz w:val="32"/>
          <w:szCs w:val="32"/>
        </w:rPr>
        <w:t>材料</w:t>
      </w:r>
      <w:r>
        <w:rPr>
          <w:rFonts w:hint="eastAsia" w:eastAsia="仿宋_GB2312"/>
          <w:b/>
          <w:bCs/>
          <w:color w:val="FF0000"/>
          <w:kern w:val="1"/>
          <w:sz w:val="32"/>
          <w:szCs w:val="32"/>
          <w:lang w:val="en-US" w:eastAsia="zh-CN"/>
        </w:rPr>
        <w:t>需报送指定邮箱。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汇总表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教师个人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申报表、评选方案、过程图片、评选公示 (含公示照片)、评选结果资料，按以下顺序标记序号：</w:t>
      </w:r>
    </w:p>
    <w:p w14:paraId="524B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单位汇总表：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单位主要领导签字并盖章（PDF 格式），备注文件名称，如 “** 单位汇总表”。</w:t>
      </w:r>
    </w:p>
    <w:p w14:paraId="5795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FF0000"/>
          <w:kern w:val="1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eastAsia="仿宋_GB2312"/>
          <w:b/>
          <w:bCs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个人申请表：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手写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签名及单位盖章的 PDF 文件，单位汇总建文件夹命名 “个人申请表”。按单位汇总表顺序标记序号，备注文件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名称，如 “1. 张 ×× 个人申请表”。</w:t>
      </w:r>
      <w:r>
        <w:rPr>
          <w:rFonts w:eastAsia="仿宋_GB2312"/>
          <w:color w:val="FF0000"/>
          <w:kern w:val="1"/>
          <w:sz w:val="32"/>
          <w:szCs w:val="32"/>
        </w:rPr>
        <w:t>注意，</w:t>
      </w:r>
      <w:r>
        <w:rPr>
          <w:rFonts w:hint="eastAsia" w:eastAsia="仿宋_GB2312"/>
          <w:color w:val="FF0000"/>
          <w:kern w:val="1"/>
          <w:sz w:val="32"/>
          <w:szCs w:val="32"/>
          <w:lang w:val="en-US" w:eastAsia="zh-CN"/>
        </w:rPr>
        <w:t>《个人申报表》是唯一在文件命名方式中需要带教师真实姓名的</w:t>
      </w:r>
      <w:r>
        <w:rPr>
          <w:rFonts w:hint="eastAsia" w:ascii="Times New Roman" w:hAnsi="Times New Roman" w:eastAsia="仿宋_GB2312" w:cs="Times New Roman"/>
          <w:color w:val="FF0000"/>
          <w:kern w:val="1"/>
          <w:sz w:val="32"/>
          <w:szCs w:val="32"/>
          <w:lang w:val="en-US" w:eastAsia="zh-CN"/>
        </w:rPr>
        <w:t>。需包含在单位汇总材料中，严禁出现在平台报送‘其他相关材料’的压缩包内”。</w:t>
      </w:r>
    </w:p>
    <w:p w14:paraId="191A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eastAsia="仿宋_GB2312"/>
          <w:color w:val="FF0000"/>
          <w:kern w:val="1"/>
          <w:sz w:val="32"/>
          <w:szCs w:val="32"/>
          <w:lang w:val="en-US" w:eastAsia="zh-CN"/>
        </w:rPr>
      </w:pPr>
      <w:r>
        <w:rPr>
          <w:rFonts w:hint="eastAsia" w:eastAsia="仿宋_GB2312"/>
          <w:color w:val="FF0000"/>
          <w:kern w:val="1"/>
          <w:sz w:val="32"/>
          <w:szCs w:val="32"/>
          <w:lang w:val="en-US" w:eastAsia="zh-CN"/>
        </w:rPr>
        <w:t>再次提醒：在评审过程中发现个人信息泄露的，将取消参赛成绩！</w:t>
      </w:r>
    </w:p>
    <w:p w14:paraId="10E2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color w:val="FF0000"/>
          <w:kern w:val="1"/>
          <w:sz w:val="32"/>
          <w:szCs w:val="32"/>
        </w:rPr>
      </w:pPr>
      <w:r>
        <w:rPr>
          <w:rFonts w:hint="eastAsia" w:eastAsia="仿宋_GB2312" w:asciiTheme="minorHAnsi" w:hAnsiTheme="minorHAnsi" w:cstheme="minorBidi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3.以下材料需要单位盖章PDF 格式文件：</w:t>
      </w:r>
    </w:p>
    <w:p w14:paraId="4F1699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 w:asciiTheme="minorHAnsi" w:hAnsiTheme="minorHAnsi" w:cstheme="minorBidi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单位评选方案</w:t>
      </w:r>
    </w:p>
    <w:p w14:paraId="0094CB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过程图片</w:t>
      </w:r>
    </w:p>
    <w:p w14:paraId="221716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评选公示 (含公示照片) 及评选结果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资料等</w:t>
      </w:r>
    </w:p>
    <w:p w14:paraId="46A1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以上材料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以 zip 压缩包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形式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报至活动邮箱（kfsdhjyg@126.com，主题注明 “** 单位融合课评选工作报送材料”）。市级管理员根据邮箱材料审核线上平台内容，通过即完成申报。</w:t>
      </w:r>
    </w:p>
    <w:p w14:paraId="2451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AA75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仿宋_GB2312"/>
          <w:b/>
          <w:bCs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线上平台融合课报送材料</w:t>
      </w:r>
    </w:p>
    <w:p w14:paraId="4772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eastAsia="仿宋_GB2312"/>
          <w:color w:val="000000" w:themeColor="text1"/>
          <w:kern w:val="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本次融合课评选材料上报工作将继续采用“开封市信息技术与课程融合优质课评选系统”，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报送时间截止至：2025年5月13日。平台报送包括：课例的课堂实录视频及其他相关材料。具体申报流程如下：</w:t>
      </w:r>
    </w:p>
    <w:p w14:paraId="2728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）账号密码沿用与重置</w:t>
      </w:r>
    </w:p>
    <w:p w14:paraId="763A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本次申报延用去年单位管理账号与密码，账号密码丢失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联系市级管理员重置。</w:t>
      </w:r>
    </w:p>
    <w:p w14:paraId="3865C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申报网站与登录操作</w:t>
      </w:r>
    </w:p>
    <w:p w14:paraId="2D3E7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延用往年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单位账号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密码自主上报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进行报送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http://hd.hner.cn/user/login.aspx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。登录后界面如下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4639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5B52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-172720</wp:posOffset>
            </wp:positionV>
            <wp:extent cx="2941320" cy="2885440"/>
            <wp:effectExtent l="0" t="0" r="11430" b="1016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-169545</wp:posOffset>
            </wp:positionV>
            <wp:extent cx="3681730" cy="2871470"/>
            <wp:effectExtent l="0" t="0" r="1397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B7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eastAsia="仿宋_GB2312"/>
          <w:b/>
          <w:bCs/>
          <w:color w:val="FF0000"/>
          <w:kern w:val="1"/>
          <w:sz w:val="32"/>
          <w:szCs w:val="32"/>
        </w:rPr>
      </w:pPr>
      <w:r>
        <w:rPr>
          <w:rFonts w:eastAsia="仿宋_GB2312"/>
          <w:b/>
          <w:bCs/>
          <w:color w:val="FF0000"/>
          <w:kern w:val="1"/>
          <w:sz w:val="32"/>
          <w:szCs w:val="32"/>
        </w:rPr>
        <w:t>步骤一：填报信息</w:t>
      </w:r>
    </w:p>
    <w:p w14:paraId="1280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点击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左侧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/>
          <w:color w:val="FF0000"/>
          <w:kern w:val="1"/>
          <w:sz w:val="32"/>
          <w:szCs w:val="32"/>
        </w:rPr>
        <w:t>填报信息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  栏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“录入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”（也可 “导入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 批量导入），按要求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录入作品信息。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如下图所示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1577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2028190</wp:posOffset>
            </wp:positionV>
            <wp:extent cx="5556885" cy="4204970"/>
            <wp:effectExtent l="0" t="0" r="5715" b="508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70485</wp:posOffset>
            </wp:positionV>
            <wp:extent cx="6364605" cy="1715770"/>
            <wp:effectExtent l="0" t="0" r="17145" b="177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1E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eastAsia="仿宋_GB2312" w:asciiTheme="minorHAnsi" w:hAnsiTheme="minorHAnsi" w:cstheme="minorBidi"/>
          <w:b/>
          <w:bCs/>
          <w:color w:val="FF0000"/>
          <w:kern w:val="1"/>
          <w:sz w:val="32"/>
          <w:szCs w:val="32"/>
        </w:rPr>
      </w:pPr>
      <w:r>
        <w:rPr>
          <w:rFonts w:eastAsia="仿宋_GB2312" w:asciiTheme="minorHAnsi" w:hAnsiTheme="minorHAnsi" w:cstheme="minorBidi"/>
          <w:b/>
          <w:bCs/>
          <w:color w:val="FF0000"/>
          <w:kern w:val="1"/>
          <w:sz w:val="32"/>
          <w:szCs w:val="32"/>
        </w:rPr>
        <w:t>步骤二：上传作品</w:t>
      </w:r>
    </w:p>
    <w:p w14:paraId="39D2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点击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蓝色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“上传” 按钮上传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课例材料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如图所示：</w:t>
      </w:r>
    </w:p>
    <w:p w14:paraId="230FA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1792605</wp:posOffset>
            </wp:positionV>
            <wp:extent cx="3627120" cy="4081145"/>
            <wp:effectExtent l="0" t="0" r="11430" b="1460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120650</wp:posOffset>
            </wp:positionV>
            <wp:extent cx="6364605" cy="1715770"/>
            <wp:effectExtent l="0" t="0" r="17145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1A3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7A6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F2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0A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15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C25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AF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7F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2F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52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C1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15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b/>
          <w:bCs/>
          <w:color w:val="FF0000"/>
          <w:kern w:val="1"/>
          <w:sz w:val="32"/>
          <w:szCs w:val="32"/>
        </w:rPr>
      </w:pPr>
      <w:r>
        <w:rPr>
          <w:rFonts w:eastAsia="仿宋_GB2312"/>
          <w:b/>
          <w:bCs/>
          <w:color w:val="FF0000"/>
          <w:kern w:val="1"/>
          <w:sz w:val="32"/>
          <w:szCs w:val="32"/>
        </w:rPr>
        <w:t>按要求上传以下内容：</w:t>
      </w:r>
    </w:p>
    <w:p w14:paraId="79717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/>
          <w:color w:val="FF0000"/>
          <w:kern w:val="1"/>
          <w:sz w:val="32"/>
          <w:szCs w:val="32"/>
          <w:lang w:val="en-US" w:eastAsia="zh-CN"/>
        </w:rPr>
        <w:t>其他相关材料</w:t>
      </w:r>
      <w:r>
        <w:rPr>
          <w:rFonts w:eastAsia="仿宋_GB2312"/>
          <w:b/>
          <w:bCs/>
          <w:color w:val="FF0000"/>
          <w:kern w:val="1"/>
          <w:sz w:val="32"/>
          <w:szCs w:val="32"/>
        </w:rPr>
        <w:t>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内包含教学设计、教学资源、教学反思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  <w:r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rar或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zip 压缩包格式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命名规则为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学段学科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课程名称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相关材料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，例如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“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小学数学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轴对称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相关材料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”。文件夹总大小不超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00MB。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文档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内所有内容均无教师姓名和单位信息，课件模板有原作者或单位标识需删除或修改，网络下载资源来源信息有相关内容要重新编辑文件名、去除水印等；文档内容及文件命名中，严禁出现师生互动反思时可能间接暴露单位信息的内容，如学生班级名称等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2D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HAnsi" w:hAnsiTheme="minorHAnsi" w:cstheme="minorBidi"/>
          <w:b/>
          <w:bCs/>
          <w:color w:val="FF0000"/>
          <w:kern w:val="1"/>
          <w:sz w:val="32"/>
          <w:szCs w:val="32"/>
          <w:lang w:val="en-US" w:eastAsia="zh-CN"/>
        </w:rPr>
        <w:t>课堂实录视频：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MP4 格式，编码 AVC H.264，大小不超 900MB。命名规则为：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学段学科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课程名称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+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课堂实录视频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例如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“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小学数学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轴对称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课堂实录视频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”。视频片头蓝底白字、楷体、时长 5 秒，含 “2025 年河南省信息技术与课程融合优质课评选” 字样、教材版本、学科、年级、课名，片尾显示制作时间（格式与片头一致，文字内容只显示 “制作时间为：×× 年 ×× 月 ××× 日”）。</w:t>
      </w:r>
    </w:p>
    <w:p w14:paraId="0538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确认文件上传完成，点击 “</w:t>
      </w:r>
      <w:r>
        <w:rPr>
          <w:rFonts w:eastAsia="仿宋_GB2312"/>
          <w:color w:val="FF0000"/>
          <w:kern w:val="1"/>
          <w:sz w:val="32"/>
          <w:szCs w:val="32"/>
        </w:rPr>
        <w:t>完成上传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 按钮。作品格式不达标或材料不完整视为无效，后果由报送单位承担。</w:t>
      </w:r>
    </w:p>
    <w:p w14:paraId="0BC8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eastAsia="仿宋_GB2312" w:asciiTheme="minorHAnsi" w:hAnsiTheme="minorHAnsi" w:cstheme="minorBidi"/>
          <w:b/>
          <w:bCs/>
          <w:color w:val="FF0000"/>
          <w:kern w:val="1"/>
          <w:sz w:val="32"/>
          <w:szCs w:val="32"/>
        </w:rPr>
      </w:pPr>
      <w:r>
        <w:rPr>
          <w:rFonts w:eastAsia="仿宋_GB2312" w:asciiTheme="minorHAnsi" w:hAnsiTheme="minorHAnsi" w:cstheme="minorBidi"/>
          <w:b/>
          <w:bCs/>
          <w:color w:val="FF0000"/>
          <w:kern w:val="1"/>
          <w:sz w:val="32"/>
          <w:szCs w:val="32"/>
        </w:rPr>
        <w:t>作品检查</w:t>
      </w:r>
    </w:p>
    <w:p w14:paraId="1BD5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作品上传完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成后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，在 “</w:t>
      </w:r>
      <w:r>
        <w:rPr>
          <w:rFonts w:eastAsia="仿宋_GB2312"/>
          <w:color w:val="FF0000"/>
          <w:kern w:val="1"/>
          <w:sz w:val="32"/>
          <w:szCs w:val="32"/>
        </w:rPr>
        <w:t>信息管理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 查看信息是否完整并可编辑修改。文件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有问题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删除重传，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也可整个材料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删除后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在 “</w:t>
      </w:r>
      <w:r>
        <w:rPr>
          <w:rFonts w:eastAsia="仿宋_GB2312"/>
          <w:color w:val="FF0000"/>
          <w:kern w:val="1"/>
          <w:sz w:val="32"/>
          <w:szCs w:val="32"/>
        </w:rPr>
        <w:t>回收站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 删除项目，二次录入信息完成报送。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如图所示：</w:t>
      </w:r>
    </w:p>
    <w:p w14:paraId="6BFBB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250825</wp:posOffset>
            </wp:positionV>
            <wp:extent cx="5728335" cy="1256665"/>
            <wp:effectExtent l="0" t="0" r="5715" b="63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3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上传完成后点击视频文件后的 “</w:t>
      </w:r>
      <w:r>
        <w:rPr>
          <w:rFonts w:eastAsia="仿宋_GB2312"/>
          <w:color w:val="FF0000"/>
          <w:kern w:val="1"/>
          <w:sz w:val="32"/>
          <w:szCs w:val="32"/>
        </w:rPr>
        <w:t>播放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” 按钮，确保视频声画同步、完整。不能正常播放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通常是由于视频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编码 AVC H.264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格式问题，应</w:t>
      </w:r>
      <w:r>
        <w:rPr>
          <w:rFonts w:eastAsia="仿宋_GB2312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按格式要求编辑后重报，再次验证视频正常播放显示绿色 “完整” 提示后，完成线上报名。</w:t>
      </w:r>
    </w:p>
    <w:p w14:paraId="0C22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整个单位</w:t>
      </w:r>
      <w:r>
        <w:rPr>
          <w:rFonts w:hint="default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作品上报完成之后</w:t>
      </w:r>
      <w:r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请点击“</w:t>
      </w:r>
      <w:r>
        <w:rPr>
          <w:rFonts w:hint="eastAsia" w:eastAsia="仿宋_GB2312"/>
          <w:color w:val="FF0000"/>
          <w:kern w:val="1"/>
          <w:sz w:val="32"/>
          <w:szCs w:val="32"/>
          <w:lang w:val="en-US" w:eastAsia="zh-CN"/>
        </w:rPr>
        <w:t>导出信息</w:t>
      </w:r>
      <w:r>
        <w:rPr>
          <w:rFonts w:hint="eastAsia" w:eastAsia="仿宋_GB2312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作品编号</w:t>
      </w:r>
      <w:r>
        <w:rPr>
          <w:rFonts w:hint="default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可从平台导出</w:t>
      </w:r>
      <w:r>
        <w:rPr>
          <w:rFonts w:hint="eastAsia" w:eastAsia="仿宋_GB2312" w:asciiTheme="minorHAnsi" w:hAnsiTheme="minorHAnsi" w:cstheme="minorBidi"/>
          <w:color w:val="000000" w:themeColor="text1"/>
          <w:kern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7F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Times New Roman" w:hAnsi="Times New Roman" w:eastAsia="仿宋_GB2312" w:cs="Times New Roman"/>
          <w:color w:val="000000" w:themeColor="text1"/>
          <w:ker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E9921"/>
    <w:multiLevelType w:val="singleLevel"/>
    <w:tmpl w:val="9EEE992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F67F4394"/>
    <w:multiLevelType w:val="singleLevel"/>
    <w:tmpl w:val="F67F43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70378EC"/>
    <w:multiLevelType w:val="singleLevel"/>
    <w:tmpl w:val="470378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2F412F8"/>
    <w:rsid w:val="1A7F27D8"/>
    <w:rsid w:val="302736D4"/>
    <w:rsid w:val="32F50547"/>
    <w:rsid w:val="40752CC7"/>
    <w:rsid w:val="44377A95"/>
    <w:rsid w:val="45DE1A44"/>
    <w:rsid w:val="4853087A"/>
    <w:rsid w:val="4E610E7C"/>
    <w:rsid w:val="50A34948"/>
    <w:rsid w:val="52195BA8"/>
    <w:rsid w:val="565B01B3"/>
    <w:rsid w:val="59011144"/>
    <w:rsid w:val="5FED30D8"/>
    <w:rsid w:val="6368406A"/>
    <w:rsid w:val="6D4D7FE8"/>
    <w:rsid w:val="774012EB"/>
    <w:rsid w:val="7A6D3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2697</Words>
  <Characters>2860</Characters>
  <TotalTime>3</TotalTime>
  <ScaleCrop>false</ScaleCrop>
  <LinksUpToDate>false</LinksUpToDate>
  <CharactersWithSpaces>3035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2025-04-09T01:53:00Z</dcterms:created>
  <dc:creator>Un-named</dc:creator>
  <cp:lastModifiedBy>孙锐</cp:lastModifiedBy>
  <cp:lastPrinted>2025-04-11T08:31:50Z</cp:lastPrinted>
  <dcterms:modified xsi:type="dcterms:W3CDTF">2025-04-11T08:32:46Z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eyJoZGlkIjoiMmQxM2VkYjg3ZTI3OGI4M2Y3MTZlMzM2ODM4NGFhMDYifQ==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DBB19981CC554842B9D463A6E4F3DB70_12</vt:lpwstr>
  </property>
</Properties>
</file>